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CD" w:rsidRPr="00A105CD" w:rsidRDefault="00A105CD" w:rsidP="00A105CD">
      <w:pPr>
        <w:bidi w:val="0"/>
        <w:spacing w:after="0" w:line="336" w:lineRule="atLeast"/>
        <w:jc w:val="center"/>
        <w:rPr>
          <w:rFonts w:ascii="Tahoma" w:eastAsia="Times New Roman" w:hAnsi="Tahoma" w:cs="Tahoma"/>
          <w:b/>
          <w:bCs/>
          <w:color w:val="569421"/>
          <w:sz w:val="36"/>
          <w:szCs w:val="36"/>
          <w:lang w:val="en"/>
        </w:rPr>
      </w:pPr>
      <w:r>
        <w:rPr>
          <w:rFonts w:ascii="Tahoma" w:eastAsia="Times New Roman" w:hAnsi="Tahoma" w:cs="Tahoma"/>
          <w:b/>
          <w:bCs/>
          <w:color w:val="569421"/>
          <w:sz w:val="23"/>
          <w:szCs w:val="23"/>
          <w:lang w:val="en"/>
        </w:rPr>
        <w:t xml:space="preserve">              </w:t>
      </w:r>
      <w:r w:rsidRPr="00A105CD">
        <w:rPr>
          <w:rFonts w:ascii="Tahoma" w:eastAsia="Times New Roman" w:hAnsi="Tahoma" w:cs="Tahoma"/>
          <w:b/>
          <w:bCs/>
          <w:color w:val="569421"/>
          <w:sz w:val="36"/>
          <w:szCs w:val="36"/>
          <w:lang w:val="en"/>
        </w:rPr>
        <w:t xml:space="preserve">GREEN LIFE GROUP       </w:t>
      </w:r>
    </w:p>
    <w:p w:rsidR="00A105CD" w:rsidRPr="00A105CD" w:rsidRDefault="00A105CD" w:rsidP="00A105CD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>
        <w:rPr>
          <w:rFonts w:ascii="Tahoma" w:eastAsia="Times New Roman" w:hAnsi="Tahoma" w:cs="Tahoma"/>
          <w:b/>
          <w:bCs/>
          <w:color w:val="569421"/>
          <w:sz w:val="23"/>
          <w:szCs w:val="23"/>
          <w:lang w:val="en"/>
        </w:rPr>
        <w:t xml:space="preserve">  </w:t>
      </w:r>
      <w:r w:rsidRPr="00A105CD">
        <w:rPr>
          <w:rFonts w:ascii="Tahoma" w:eastAsia="Times New Roman" w:hAnsi="Tahoma" w:cs="Tahoma"/>
          <w:b/>
          <w:bCs/>
          <w:color w:val="569421"/>
          <w:sz w:val="23"/>
          <w:szCs w:val="23"/>
          <w:lang w:val="en"/>
        </w:rPr>
        <w:t> </w:t>
      </w:r>
      <w:r w:rsidRPr="00A105CD">
        <w:rPr>
          <w:rFonts w:ascii="Tahoma" w:eastAsia="Times New Roman" w:hAnsi="Tahoma" w:cs="Tahoma"/>
          <w:b/>
          <w:bCs/>
          <w:color w:val="2F2E2E"/>
          <w:sz w:val="23"/>
          <w:szCs w:val="23"/>
          <w:lang w:val="en"/>
        </w:rPr>
        <w:t>Technical Data Sheet</w:t>
      </w:r>
    </w:p>
    <w:p w:rsidR="00A105CD" w:rsidRPr="00A105CD" w:rsidRDefault="00A105CD" w:rsidP="00A105CD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23"/>
          <w:szCs w:val="23"/>
          <w:lang w:val="en"/>
        </w:rPr>
        <w:t>         GREEN UP WINDOW CLEANER  </w:t>
      </w:r>
    </w:p>
    <w:p w:rsidR="00A105CD" w:rsidRPr="00A105CD" w:rsidRDefault="00A105CD" w:rsidP="00A105CD">
      <w:pPr>
        <w:bidi w:val="0"/>
        <w:spacing w:before="100" w:beforeAutospacing="1" w:after="300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Description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Green </w:t>
      </w:r>
      <w:proofErr w:type="gram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Up</w:t>
      </w:r>
      <w:proofErr w:type="gram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Window Cleaner is a concentrated cleaning and sterilizing product for windows and windowpanes. It is an antibacterial, ecological and water based liquid that is readily biodegradable, it is non-caustic.</w:t>
      </w: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 GREEN UP S Is made from renewable raw materials –glucose derived from corn, and fatty alcohols from coconut and palm kernel oils due to its natural chemistry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.</w:t>
      </w: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This product is very mild, low in toxicity and readily Biodegradable   </w:t>
      </w: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Summary of benefits</w:t>
      </w:r>
    </w:p>
    <w:p w:rsidR="00A105CD" w:rsidRPr="00A105CD" w:rsidRDefault="00A105CD" w:rsidP="00A105CD">
      <w:pPr>
        <w:numPr>
          <w:ilvl w:val="0"/>
          <w:numId w:val="1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WATER BASED  SANITIZER</w:t>
      </w:r>
    </w:p>
    <w:p w:rsidR="00A105CD" w:rsidRPr="00A105CD" w:rsidRDefault="00A105CD" w:rsidP="00A105CD">
      <w:pPr>
        <w:numPr>
          <w:ilvl w:val="0"/>
          <w:numId w:val="1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FOOD SAFE</w:t>
      </w:r>
    </w:p>
    <w:p w:rsidR="00A105CD" w:rsidRPr="00A105CD" w:rsidRDefault="00A105CD" w:rsidP="00A105CD">
      <w:pPr>
        <w:numPr>
          <w:ilvl w:val="0"/>
          <w:numId w:val="2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NOT DANGEROUS FOR PEOPLE</w:t>
      </w:r>
    </w:p>
    <w:p w:rsidR="00A105CD" w:rsidRPr="00A105CD" w:rsidRDefault="00A105CD" w:rsidP="00A105CD">
      <w:pPr>
        <w:numPr>
          <w:ilvl w:val="0"/>
          <w:numId w:val="2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NOT HURM THE INVIROMENT </w:t>
      </w:r>
    </w:p>
    <w:p w:rsidR="00A105CD" w:rsidRPr="00A105CD" w:rsidRDefault="00A105CD" w:rsidP="00A105CD">
      <w:pPr>
        <w:numPr>
          <w:ilvl w:val="0"/>
          <w:numId w:val="3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NON TAINTING</w:t>
      </w:r>
    </w:p>
    <w:p w:rsidR="00A105CD" w:rsidRPr="00A105CD" w:rsidRDefault="00A105CD" w:rsidP="00A105CD">
      <w:pPr>
        <w:numPr>
          <w:ilvl w:val="0"/>
          <w:numId w:val="3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NON FLAMMABLE</w:t>
      </w:r>
    </w:p>
    <w:p w:rsidR="00A105CD" w:rsidRPr="00A105CD" w:rsidRDefault="00A105CD" w:rsidP="00A105CD">
      <w:pPr>
        <w:numPr>
          <w:ilvl w:val="0"/>
          <w:numId w:val="3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DISCHARGE  TOXIC GAS OR SYNTHETICS  SMELL</w:t>
      </w:r>
    </w:p>
    <w:p w:rsidR="00A105CD" w:rsidRPr="00A105CD" w:rsidRDefault="00A105CD" w:rsidP="00A105CD">
      <w:pPr>
        <w:numPr>
          <w:ilvl w:val="0"/>
          <w:numId w:val="3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RISK THE  BREATHING WAY</w:t>
      </w:r>
    </w:p>
    <w:p w:rsidR="00A105CD" w:rsidRPr="00A105CD" w:rsidRDefault="00A105CD" w:rsidP="00A105CD">
      <w:pPr>
        <w:numPr>
          <w:ilvl w:val="0"/>
          <w:numId w:val="3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DOES NOT LEAVE MARKS ON SKIN </w:t>
      </w:r>
    </w:p>
    <w:p w:rsidR="00A105CD" w:rsidRPr="00A105CD" w:rsidRDefault="00A105CD" w:rsidP="00A105CD">
      <w:pPr>
        <w:numPr>
          <w:ilvl w:val="0"/>
          <w:numId w:val="3"/>
        </w:num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ATTACKING THE SURFACE, INCLUDING PLASTICK RUBBER AND STAINLESS STEEL.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000000"/>
          <w:sz w:val="33"/>
          <w:szCs w:val="33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Directions for Use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Green </w:t>
      </w:r>
      <w:proofErr w:type="gram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Up</w:t>
      </w:r>
      <w:proofErr w:type="gram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Window Cleaner is a ready to use liquid – do not dilute or mix with other liquids, do not heat, and do not apply on very hot surfaces.</w:t>
      </w:r>
      <w:bookmarkStart w:id="0" w:name="_GoBack"/>
      <w:bookmarkEnd w:id="0"/>
    </w:p>
    <w:p w:rsidR="00A105CD" w:rsidRDefault="00A105CD" w:rsidP="00A105CD">
      <w:pPr>
        <w:bidi w:val="0"/>
        <w:spacing w:after="24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Spray on the dirty place you wish to clean, wait for a few seconds and wipe off. There is no need to wash with water after using</w:t>
      </w:r>
      <w:proofErr w:type="gram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  Green</w:t>
      </w:r>
      <w:proofErr w:type="gram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Up Window Cleaner.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 xml:space="preserve"> Regular cleaning with Green </w:t>
      </w:r>
      <w:proofErr w:type="gram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Up</w:t>
      </w:r>
      <w:proofErr w:type="gram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Window Cleaner shortens the waiting time before wiping off the spray and the amount of the material you use.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In cases of very dirty or oily surfaces repeat the cleaning process for complete success. </w:t>
      </w:r>
    </w:p>
    <w:p w:rsidR="00A105CD" w:rsidRDefault="00A105CD" w:rsidP="00A105CD">
      <w:pPr>
        <w:bidi w:val="0"/>
        <w:spacing w:after="24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Default="00A105CD" w:rsidP="00A105CD">
      <w:pPr>
        <w:bidi w:val="0"/>
        <w:spacing w:after="24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Default="00A105CD" w:rsidP="00A105CD">
      <w:pPr>
        <w:bidi w:val="0"/>
        <w:spacing w:after="24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Pr="00A105CD" w:rsidRDefault="00A105CD" w:rsidP="00A105CD">
      <w:pPr>
        <w:bidi w:val="0"/>
        <w:spacing w:after="0" w:line="336" w:lineRule="atLeast"/>
        <w:jc w:val="center"/>
        <w:rPr>
          <w:rFonts w:ascii="Tahoma" w:eastAsia="Times New Roman" w:hAnsi="Tahoma" w:cs="Tahoma"/>
          <w:b/>
          <w:bCs/>
          <w:color w:val="569421"/>
          <w:sz w:val="36"/>
          <w:szCs w:val="36"/>
          <w:lang w:val="en"/>
        </w:rPr>
      </w:pPr>
      <w:r>
        <w:rPr>
          <w:rFonts w:ascii="Tahoma" w:eastAsia="Times New Roman" w:hAnsi="Tahoma" w:cs="Tahoma"/>
          <w:b/>
          <w:bCs/>
          <w:color w:val="569421"/>
          <w:sz w:val="36"/>
          <w:szCs w:val="36"/>
          <w:lang w:val="en"/>
        </w:rPr>
        <w:lastRenderedPageBreak/>
        <w:t xml:space="preserve">        </w:t>
      </w:r>
      <w:r w:rsidRPr="00A105CD">
        <w:rPr>
          <w:rFonts w:ascii="Tahoma" w:eastAsia="Times New Roman" w:hAnsi="Tahoma" w:cs="Tahoma"/>
          <w:b/>
          <w:bCs/>
          <w:color w:val="569421"/>
          <w:sz w:val="36"/>
          <w:szCs w:val="36"/>
          <w:lang w:val="en"/>
        </w:rPr>
        <w:t xml:space="preserve">GREEN LIFE GROUP       </w:t>
      </w:r>
    </w:p>
    <w:p w:rsidR="00A105CD" w:rsidRPr="00A105CD" w:rsidRDefault="00A105CD" w:rsidP="00A105CD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Tahoma" w:eastAsia="Times New Roman" w:hAnsi="Tahoma" w:cs="Tahoma"/>
          <w:b/>
          <w:bCs/>
          <w:color w:val="569421"/>
          <w:sz w:val="23"/>
          <w:szCs w:val="23"/>
          <w:lang w:val="en"/>
        </w:rPr>
        <w:t> </w:t>
      </w:r>
      <w:proofErr w:type="spellStart"/>
      <w:r w:rsidRPr="00A105CD">
        <w:rPr>
          <w:rFonts w:ascii="Tahoma" w:eastAsia="Times New Roman" w:hAnsi="Tahoma" w:cs="Tahoma"/>
          <w:b/>
          <w:bCs/>
          <w:color w:val="2F2E2E"/>
          <w:sz w:val="23"/>
          <w:szCs w:val="23"/>
          <w:lang w:val="en"/>
        </w:rPr>
        <w:t>Techical</w:t>
      </w:r>
      <w:proofErr w:type="spellEnd"/>
      <w:r w:rsidRPr="00A105CD">
        <w:rPr>
          <w:rFonts w:ascii="Tahoma" w:eastAsia="Times New Roman" w:hAnsi="Tahoma" w:cs="Tahoma"/>
          <w:b/>
          <w:bCs/>
          <w:color w:val="2F2E2E"/>
          <w:sz w:val="23"/>
          <w:szCs w:val="23"/>
          <w:lang w:val="en"/>
        </w:rPr>
        <w:t xml:space="preserve"> Data Sheet</w:t>
      </w:r>
    </w:p>
    <w:p w:rsidR="00A105CD" w:rsidRDefault="00A105CD" w:rsidP="00A105CD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569421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23"/>
          <w:szCs w:val="23"/>
          <w:lang w:val="en"/>
        </w:rPr>
        <w:t>         GREEN UP WINDOW CLEANER</w:t>
      </w:r>
    </w:p>
    <w:p w:rsidR="00A105CD" w:rsidRPr="00A105CD" w:rsidRDefault="00A105CD" w:rsidP="00A105CD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b/>
          <w:bCs/>
          <w:color w:val="0D0D0D" w:themeColor="text1" w:themeTint="F2"/>
          <w:lang w:val="en"/>
        </w:rPr>
        <w:t>-2</w:t>
      </w:r>
      <w:r w:rsidRPr="00A105CD">
        <w:rPr>
          <w:rFonts w:ascii="Arial" w:eastAsia="Times New Roman" w:hAnsi="Arial" w:cs="Arial"/>
          <w:b/>
          <w:bCs/>
          <w:color w:val="0D0D0D" w:themeColor="text1" w:themeTint="F2"/>
          <w:sz w:val="23"/>
          <w:szCs w:val="23"/>
          <w:lang w:val="en"/>
        </w:rPr>
        <w:t>-</w:t>
      </w:r>
      <w:r w:rsidRPr="00A105CD">
        <w:rPr>
          <w:rFonts w:ascii="Arial" w:eastAsia="Times New Roman" w:hAnsi="Arial" w:cs="Arial"/>
          <w:b/>
          <w:bCs/>
          <w:color w:val="569421"/>
          <w:sz w:val="23"/>
          <w:szCs w:val="23"/>
          <w:lang w:val="en"/>
        </w:rPr>
        <w:t>  </w:t>
      </w:r>
    </w:p>
    <w:p w:rsid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30"/>
          <w:szCs w:val="30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Precautions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 </w:t>
      </w:r>
      <w:proofErr w:type="gram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For external use only.</w:t>
      </w:r>
      <w:proofErr w:type="gram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Do not swallow.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 xml:space="preserve"> In case of contact with eyes or skin wash with a large amount </w:t>
      </w:r>
      <w:proofErr w:type="spell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ofwater</w:t>
      </w:r>
      <w:proofErr w:type="spell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In case of swallowing, drink water or milk and seek medical assistance.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Keep away from children.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Keep the contents in a closed shaded area.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Avoid exposing the liquid to extreme temperatures.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33"/>
          <w:szCs w:val="33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Components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Green </w:t>
      </w:r>
      <w:proofErr w:type="gramStart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Up</w:t>
      </w:r>
      <w:proofErr w:type="gramEnd"/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Window is non-caustic, readily biodegradable, water based and a heavy duty degreaser and oil disperser.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The products of Green Life Group do not contain animal fats. Green Life Group is against experiments on animals.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All the components of this product are biodegradable and do not cause environmental damage.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t>   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Health and Safety</w:t>
      </w:r>
      <w:r w:rsidRPr="00A105CD">
        <w:rPr>
          <w:rFonts w:ascii="Arial" w:eastAsia="Times New Roman" w:hAnsi="Arial" w:cs="Arial"/>
          <w:color w:val="000000"/>
          <w:sz w:val="21"/>
          <w:szCs w:val="21"/>
          <w:lang w:val="en"/>
        </w:rPr>
        <w:br/>
        <w:t> For full Health and Safety data please refer to our specific MSDS Sheet, which is available upon request.  </w:t>
      </w: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A105CD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PACK SIZES</w:t>
      </w: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0750lt, 4lt, </w:t>
      </w:r>
      <w:proofErr w:type="gramStart"/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>18lt ,</w:t>
      </w:r>
      <w:proofErr w:type="gramEnd"/>
      <w:r w:rsidRPr="00A105CD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205lt barrels, 1000 litter canister </w:t>
      </w: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</w:p>
    <w:p w:rsidR="00A105CD" w:rsidRPr="00A105CD" w:rsidRDefault="00A105CD" w:rsidP="00A105CD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</w:p>
    <w:p w:rsidR="00A105CD" w:rsidRPr="00A105CD" w:rsidRDefault="00A105CD" w:rsidP="00A105CD">
      <w:pPr>
        <w:bidi w:val="0"/>
        <w:spacing w:before="100" w:beforeAutospacing="1" w:after="24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</w:p>
    <w:p w:rsidR="00A105CD" w:rsidRPr="00A105CD" w:rsidRDefault="00A105CD" w:rsidP="00A105CD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3"/>
          <w:szCs w:val="23"/>
          <w:lang w:val="en"/>
        </w:rPr>
      </w:pPr>
      <w:r w:rsidRPr="00A105CD">
        <w:rPr>
          <w:rFonts w:ascii="Tahoma" w:eastAsia="Times New Roman" w:hAnsi="Tahoma" w:cs="Tahoma"/>
          <w:color w:val="000000"/>
          <w:sz w:val="23"/>
          <w:szCs w:val="23"/>
          <w:lang w:val="en"/>
        </w:rPr>
        <w:t> </w:t>
      </w:r>
    </w:p>
    <w:p w:rsidR="00A105CD" w:rsidRPr="00A105CD" w:rsidRDefault="00A105CD" w:rsidP="00A105CD">
      <w:pPr>
        <w:bidi w:val="0"/>
        <w:spacing w:before="100" w:beforeAutospacing="1" w:after="24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A105CD">
        <w:rPr>
          <w:rFonts w:ascii="Tahoma" w:eastAsia="Times New Roman" w:hAnsi="Tahoma" w:cs="Tahoma"/>
          <w:color w:val="333333"/>
          <w:sz w:val="23"/>
          <w:szCs w:val="23"/>
          <w:lang w:val="en"/>
        </w:rPr>
        <w:t> </w:t>
      </w:r>
    </w:p>
    <w:p w:rsidR="00FB57F6" w:rsidRPr="00A105CD" w:rsidRDefault="00FB57F6" w:rsidP="00A105CD">
      <w:pPr>
        <w:bidi w:val="0"/>
        <w:rPr>
          <w:rFonts w:hint="cs"/>
          <w:lang w:val="en"/>
        </w:rPr>
      </w:pPr>
    </w:p>
    <w:sectPr w:rsidR="00FB57F6" w:rsidRPr="00A105CD" w:rsidSect="00A105CD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176"/>
    <w:multiLevelType w:val="multilevel"/>
    <w:tmpl w:val="28D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23D77"/>
    <w:multiLevelType w:val="multilevel"/>
    <w:tmpl w:val="9D9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E5965"/>
    <w:multiLevelType w:val="multilevel"/>
    <w:tmpl w:val="8232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7C"/>
    <w:rsid w:val="00743966"/>
    <w:rsid w:val="00A105CD"/>
    <w:rsid w:val="00D46A7C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105CD"/>
    <w:pPr>
      <w:bidi w:val="0"/>
      <w:spacing w:before="100" w:beforeAutospacing="1" w:after="100" w:afterAutospacing="1" w:line="336" w:lineRule="atLeast"/>
    </w:pPr>
    <w:rPr>
      <w:rFonts w:ascii="Arial" w:eastAsia="Times New Roman" w:hAnsi="Arial" w:cs="Arial"/>
      <w:b/>
      <w:bCs/>
      <w:color w:val="333333"/>
      <w:sz w:val="30"/>
      <w:szCs w:val="30"/>
    </w:rPr>
  </w:style>
  <w:style w:type="character" w:styleId="a3">
    <w:name w:val="Strong"/>
    <w:basedOn w:val="a0"/>
    <w:uiPriority w:val="22"/>
    <w:qFormat/>
    <w:rsid w:val="00A105CD"/>
    <w:rPr>
      <w:b/>
      <w:bCs/>
    </w:rPr>
  </w:style>
  <w:style w:type="character" w:customStyle="1" w:styleId="inherit-font-size">
    <w:name w:val="inherit-font-size"/>
    <w:basedOn w:val="a0"/>
    <w:rsid w:val="00A10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105CD"/>
    <w:pPr>
      <w:bidi w:val="0"/>
      <w:spacing w:before="100" w:beforeAutospacing="1" w:after="100" w:afterAutospacing="1" w:line="336" w:lineRule="atLeast"/>
    </w:pPr>
    <w:rPr>
      <w:rFonts w:ascii="Arial" w:eastAsia="Times New Roman" w:hAnsi="Arial" w:cs="Arial"/>
      <w:b/>
      <w:bCs/>
      <w:color w:val="333333"/>
      <w:sz w:val="30"/>
      <w:szCs w:val="30"/>
    </w:rPr>
  </w:style>
  <w:style w:type="character" w:styleId="a3">
    <w:name w:val="Strong"/>
    <w:basedOn w:val="a0"/>
    <w:uiPriority w:val="22"/>
    <w:qFormat/>
    <w:rsid w:val="00A105CD"/>
    <w:rPr>
      <w:b/>
      <w:bCs/>
    </w:rPr>
  </w:style>
  <w:style w:type="character" w:customStyle="1" w:styleId="inherit-font-size">
    <w:name w:val="inherit-font-size"/>
    <w:basedOn w:val="a0"/>
    <w:rsid w:val="00A1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6474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2016-05-02T17:45:00Z</dcterms:created>
  <dcterms:modified xsi:type="dcterms:W3CDTF">2016-05-02T17:45:00Z</dcterms:modified>
</cp:coreProperties>
</file>